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8" w:rsidRDefault="00E812A8" w:rsidP="00021DB8">
      <w:pPr>
        <w:jc w:val="both"/>
      </w:pPr>
    </w:p>
    <w:p w:rsidR="0030743B" w:rsidRPr="006C59B4" w:rsidRDefault="00DC3531" w:rsidP="00021DB8">
      <w:pPr>
        <w:jc w:val="both"/>
      </w:pPr>
      <w:r w:rsidRPr="006C59B4">
        <w:t>L’objectif de ce dossier est d’apporter des éléments sur le parcours professionnel</w:t>
      </w:r>
      <w:r w:rsidR="000D01B4" w:rsidRPr="006C59B4">
        <w:t>, scolaire et personnel</w:t>
      </w:r>
      <w:r w:rsidRPr="006C59B4">
        <w:t xml:space="preserve"> du candidat afin </w:t>
      </w:r>
      <w:r w:rsidR="0030743B" w:rsidRPr="006C59B4">
        <w:t>de lui apporter une réponse plus personnalisée dans sa démarche de VAE</w:t>
      </w:r>
      <w:r w:rsidR="000D01B4" w:rsidRPr="006C59B4">
        <w:t xml:space="preserve"> (voir décret du 4/07/2017)</w:t>
      </w:r>
      <w:r w:rsidR="0030743B" w:rsidRPr="006C59B4">
        <w:t>.</w:t>
      </w:r>
    </w:p>
    <w:p w:rsidR="00DC3531" w:rsidRDefault="00DC3531">
      <w:r>
        <w:t>Il est ainsi demandé au candidat de s’auto-évaluer sur l’ensemble des critères suivants en illustra</w:t>
      </w:r>
      <w:r w:rsidR="0030743B">
        <w:t xml:space="preserve">nt de façon </w:t>
      </w:r>
      <w:bookmarkStart w:id="0" w:name="_GoBack"/>
      <w:bookmarkEnd w:id="0"/>
      <w:r w:rsidR="0030743B">
        <w:t>concrète ses acquis</w:t>
      </w:r>
      <w:r w:rsidR="00497D73">
        <w:t xml:space="preserve"> (maximum 10 lignes par paragraphe)</w:t>
      </w:r>
      <w:r w:rsidR="0030743B">
        <w:t>.</w:t>
      </w: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3070"/>
        <w:gridCol w:w="6961"/>
      </w:tblGrid>
      <w:tr w:rsidR="00DC3531" w:rsidTr="00DC3531">
        <w:tc>
          <w:tcPr>
            <w:tcW w:w="10031" w:type="dxa"/>
            <w:gridSpan w:val="2"/>
            <w:shd w:val="clear" w:color="auto" w:fill="FFFF99"/>
          </w:tcPr>
          <w:p w:rsidR="00DC3531" w:rsidRDefault="00DC3531" w:rsidP="00DC3531">
            <w:pPr>
              <w:jc w:val="center"/>
            </w:pPr>
            <w:r w:rsidRPr="00DC3531"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  <w:t>Echelle d'évaluation</w:t>
            </w:r>
          </w:p>
        </w:tc>
      </w:tr>
      <w:tr w:rsidR="00DC3531" w:rsidTr="00DC3531">
        <w:tc>
          <w:tcPr>
            <w:tcW w:w="3070" w:type="dxa"/>
            <w:shd w:val="clear" w:color="auto" w:fill="FFFF99"/>
            <w:vAlign w:val="bottom"/>
          </w:tcPr>
          <w:p w:rsidR="00DC3531" w:rsidRPr="00DC3531" w:rsidRDefault="00DC3531" w:rsidP="00CE4D3B">
            <w:pPr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  <w:t>Absence</w:t>
            </w:r>
          </w:p>
        </w:tc>
        <w:tc>
          <w:tcPr>
            <w:tcW w:w="6961" w:type="dxa"/>
            <w:shd w:val="clear" w:color="auto" w:fill="FFFF99"/>
            <w:vAlign w:val="bottom"/>
          </w:tcPr>
          <w:p w:rsidR="00DC3531" w:rsidRPr="00DC3531" w:rsidRDefault="00DC3531" w:rsidP="00CE4D3B">
            <w:pPr>
              <w:rPr>
                <w:rFonts w:ascii="Comic Sans MS" w:eastAsia="Times New Roman" w:hAnsi="Comic Sans MS" w:cs="Arial"/>
                <w:i/>
                <w:i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i/>
                <w:iCs/>
                <w:sz w:val="18"/>
                <w:szCs w:val="18"/>
                <w:lang w:eastAsia="fr-FR"/>
              </w:rPr>
              <w:t>ne connaît pas</w:t>
            </w:r>
          </w:p>
        </w:tc>
      </w:tr>
      <w:tr w:rsidR="00DC3531" w:rsidTr="00DC3531">
        <w:tc>
          <w:tcPr>
            <w:tcW w:w="3070" w:type="dxa"/>
            <w:shd w:val="clear" w:color="auto" w:fill="FFFF99"/>
            <w:vAlign w:val="bottom"/>
          </w:tcPr>
          <w:p w:rsidR="00DC3531" w:rsidRPr="00DC3531" w:rsidRDefault="00DC3531" w:rsidP="00CE4D3B">
            <w:pPr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  <w:t>Connaissance</w:t>
            </w:r>
          </w:p>
        </w:tc>
        <w:tc>
          <w:tcPr>
            <w:tcW w:w="6961" w:type="dxa"/>
            <w:shd w:val="clear" w:color="auto" w:fill="FFFF99"/>
            <w:vAlign w:val="bottom"/>
          </w:tcPr>
          <w:p w:rsidR="00DC3531" w:rsidRPr="00DC3531" w:rsidRDefault="00DC3531" w:rsidP="00CE4D3B">
            <w:pPr>
              <w:rPr>
                <w:rFonts w:ascii="Comic Sans MS" w:eastAsia="Times New Roman" w:hAnsi="Comic Sans MS" w:cs="Arial"/>
                <w:i/>
                <w:i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i/>
                <w:iCs/>
                <w:sz w:val="18"/>
                <w:szCs w:val="18"/>
                <w:lang w:eastAsia="fr-FR"/>
              </w:rPr>
              <w:t>connaît (niveau culture générale)</w:t>
            </w:r>
          </w:p>
        </w:tc>
      </w:tr>
      <w:tr w:rsidR="00DC3531" w:rsidTr="00DC3531">
        <w:tc>
          <w:tcPr>
            <w:tcW w:w="3070" w:type="dxa"/>
            <w:shd w:val="clear" w:color="auto" w:fill="FFFF99"/>
            <w:vAlign w:val="bottom"/>
          </w:tcPr>
          <w:p w:rsidR="00DC3531" w:rsidRPr="00DC3531" w:rsidRDefault="00DC3531" w:rsidP="00CE4D3B">
            <w:pPr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  <w:t>Capacité</w:t>
            </w:r>
          </w:p>
        </w:tc>
        <w:tc>
          <w:tcPr>
            <w:tcW w:w="6961" w:type="dxa"/>
            <w:shd w:val="clear" w:color="auto" w:fill="FFFF99"/>
            <w:vAlign w:val="bottom"/>
          </w:tcPr>
          <w:p w:rsidR="00DC3531" w:rsidRPr="00DC3531" w:rsidRDefault="00DC3531" w:rsidP="00CE4D3B">
            <w:pPr>
              <w:rPr>
                <w:rFonts w:ascii="Comic Sans MS" w:eastAsia="Times New Roman" w:hAnsi="Comic Sans MS" w:cs="Arial"/>
                <w:i/>
                <w:i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i/>
                <w:iCs/>
                <w:sz w:val="18"/>
                <w:szCs w:val="18"/>
                <w:lang w:eastAsia="fr-FR"/>
              </w:rPr>
              <w:t>représente la possibilité de réussite dans l’exécution d’une tâche ou l’exercice d’une profession.</w:t>
            </w:r>
          </w:p>
        </w:tc>
      </w:tr>
      <w:tr w:rsidR="00DC3531" w:rsidTr="00DC3531">
        <w:tc>
          <w:tcPr>
            <w:tcW w:w="3070" w:type="dxa"/>
            <w:shd w:val="clear" w:color="auto" w:fill="FFFF99"/>
            <w:vAlign w:val="bottom"/>
          </w:tcPr>
          <w:p w:rsidR="00DC3531" w:rsidRPr="00DC3531" w:rsidRDefault="00DC3531" w:rsidP="00CE4D3B">
            <w:pPr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i/>
                <w:iCs/>
                <w:sz w:val="18"/>
                <w:szCs w:val="18"/>
                <w:lang w:eastAsia="fr-FR"/>
              </w:rPr>
              <w:t>Compétence</w:t>
            </w:r>
          </w:p>
        </w:tc>
        <w:tc>
          <w:tcPr>
            <w:tcW w:w="6961" w:type="dxa"/>
            <w:shd w:val="clear" w:color="auto" w:fill="FFFF99"/>
            <w:vAlign w:val="bottom"/>
          </w:tcPr>
          <w:p w:rsidR="00DC3531" w:rsidRPr="00DC3531" w:rsidRDefault="00DC3531" w:rsidP="00CE4D3B">
            <w:pPr>
              <w:rPr>
                <w:rFonts w:ascii="Comic Sans MS" w:eastAsia="Times New Roman" w:hAnsi="Comic Sans MS" w:cs="Arial"/>
                <w:i/>
                <w:i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i/>
                <w:iCs/>
                <w:sz w:val="18"/>
                <w:szCs w:val="18"/>
                <w:lang w:eastAsia="fr-FR"/>
              </w:rPr>
              <w:t>capacité éprouvée à mettre en œuvre des connaissances et à résoudre des problèmes dans un contexte donné.</w:t>
            </w:r>
          </w:p>
        </w:tc>
      </w:tr>
    </w:tbl>
    <w:p w:rsidR="00E812A8" w:rsidRDefault="00E812A8">
      <w:pPr>
        <w:rPr>
          <w:b/>
          <w:sz w:val="32"/>
          <w:szCs w:val="32"/>
        </w:rPr>
      </w:pPr>
    </w:p>
    <w:p w:rsidR="00E812A8" w:rsidRDefault="00E812A8">
      <w:pPr>
        <w:rPr>
          <w:b/>
          <w:sz w:val="32"/>
          <w:szCs w:val="32"/>
        </w:rPr>
      </w:pPr>
      <w:r>
        <w:rPr>
          <w:b/>
          <w:sz w:val="32"/>
          <w:szCs w:val="32"/>
        </w:rPr>
        <w:t>NOM DU CANDIDAT : ____________________</w:t>
      </w:r>
    </w:p>
    <w:p w:rsidR="00DC3531" w:rsidRPr="00DC3531" w:rsidRDefault="00DC3531">
      <w:pPr>
        <w:rPr>
          <w:b/>
          <w:sz w:val="32"/>
          <w:szCs w:val="32"/>
        </w:rPr>
      </w:pPr>
      <w:r w:rsidRPr="00DC3531">
        <w:rPr>
          <w:b/>
          <w:sz w:val="32"/>
          <w:szCs w:val="32"/>
        </w:rPr>
        <w:t xml:space="preserve">1°) </w:t>
      </w:r>
      <w:r>
        <w:rPr>
          <w:b/>
          <w:sz w:val="32"/>
          <w:szCs w:val="32"/>
        </w:rPr>
        <w:t>CO</w:t>
      </w:r>
      <w:r w:rsidR="0030743B">
        <w:rPr>
          <w:b/>
          <w:sz w:val="32"/>
          <w:szCs w:val="32"/>
        </w:rPr>
        <w:t>NNAISSANCES SCIENTIFIQUES ET TE</w:t>
      </w:r>
      <w:r>
        <w:rPr>
          <w:b/>
          <w:sz w:val="32"/>
          <w:szCs w:val="32"/>
        </w:rPr>
        <w:t>C</w:t>
      </w:r>
      <w:r w:rsidR="0030743B">
        <w:rPr>
          <w:b/>
          <w:sz w:val="32"/>
          <w:szCs w:val="32"/>
        </w:rPr>
        <w:t>H</w:t>
      </w:r>
      <w:r>
        <w:rPr>
          <w:b/>
          <w:sz w:val="32"/>
          <w:szCs w:val="32"/>
        </w:rPr>
        <w:t>NIQUES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537"/>
      </w:tblGrid>
      <w:tr w:rsidR="00DC3531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531" w:rsidRPr="00DC3531" w:rsidRDefault="00497D73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Biologie/Biotechnologies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531" w:rsidRPr="00DC3531" w:rsidRDefault="00DC3531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DC3531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Microbiologie générale et alimentaire</w:t>
            </w:r>
            <w:r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 xml:space="preserve">, </w:t>
            </w:r>
            <w:r w:rsidRPr="00DC3531"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Reproduction - Amélioration génétique - Génétique moléculaire</w:t>
            </w:r>
            <w:r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 xml:space="preserve">, </w:t>
            </w:r>
            <w:r w:rsidRPr="00DC3531"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Nutrition animale et humaine</w:t>
            </w:r>
            <w:r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 xml:space="preserve">, </w:t>
            </w:r>
            <w:r w:rsidRPr="00DC3531"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Biochimie du vivant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DC3531" w:rsidRPr="00DC3531" w:rsidRDefault="00DC3531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497D73" w:rsidRPr="00DC3531" w:rsidTr="001F21CB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Pr="00DC3531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021DB8" w:rsidRDefault="00021DB8" w:rsidP="00DC3531">
      <w:pPr>
        <w:rPr>
          <w:b/>
          <w:sz w:val="32"/>
          <w:szCs w:val="32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497D73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lastRenderedPageBreak/>
              <w:t>Agronomie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497D73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Fonctionnement des peuplements végétaux</w:t>
            </w:r>
            <w:r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 xml:space="preserve">, </w:t>
            </w:r>
            <w:r w:rsidRPr="00DC3531"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Santé des plantes</w:t>
            </w:r>
            <w:r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 xml:space="preserve">, </w:t>
            </w:r>
            <w:r w:rsidRPr="00DC3531"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Système de cultures</w:t>
            </w:r>
            <w:r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,</w:t>
            </w:r>
            <w:r w:rsidRPr="00DC3531"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 xml:space="preserve"> Ecologie</w:t>
            </w:r>
            <w:r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 xml:space="preserve"> …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497D73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Pr="00DC3531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497D73" w:rsidRDefault="00497D73" w:rsidP="00DC3531">
      <w:pPr>
        <w:rPr>
          <w:b/>
          <w:sz w:val="32"/>
          <w:szCs w:val="32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497D73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Economie/Gestion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497D73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Comic Sans MS" w:eastAsia="Times New Roman" w:hAnsi="Comic Sans MS" w:cs="Arial"/>
                <w:bCs/>
                <w:sz w:val="18"/>
                <w:szCs w:val="18"/>
                <w:lang w:eastAsia="fr-FR"/>
              </w:rPr>
              <w:t>Comptabilité, économie, audit financier …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497D73" w:rsidRPr="00DC3531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497D73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497D73" w:rsidRPr="00DC3531" w:rsidRDefault="00497D73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497D73" w:rsidRDefault="00497D73" w:rsidP="00DC3531">
      <w:pPr>
        <w:rPr>
          <w:b/>
          <w:sz w:val="32"/>
          <w:szCs w:val="32"/>
        </w:rPr>
      </w:pPr>
    </w:p>
    <w:p w:rsidR="00DC3531" w:rsidRPr="00DC3531" w:rsidRDefault="00021DB8" w:rsidP="00DC3531">
      <w:pPr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DC3531" w:rsidRPr="00DC3531">
        <w:rPr>
          <w:b/>
          <w:sz w:val="32"/>
          <w:szCs w:val="32"/>
        </w:rPr>
        <w:t xml:space="preserve">°) </w:t>
      </w:r>
      <w:r>
        <w:rPr>
          <w:b/>
          <w:sz w:val="32"/>
          <w:szCs w:val="32"/>
        </w:rPr>
        <w:t>CONNAISSANCES ET COMPETENCES TRANSVERSALES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CE4D3B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  <w:t>GESTION DE PROJET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CE4D3B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Mettre en place des partenariats, créer, concevoir et mettre en œuvre un projet, réaliser le montage administratif de dossiers, gérer un budget, mettre en place des indicateurs, gérer des échéances …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CE4D3B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DC3531" w:rsidRDefault="00DC3531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E812A8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3107C7">
            <w:pPr>
              <w:keepNext/>
              <w:spacing w:after="0" w:line="240" w:lineRule="auto"/>
              <w:rPr>
                <w:rFonts w:ascii="Comic Sans MS" w:hAnsi="Comic Sans MS" w:cs="Arial"/>
                <w:b/>
                <w:bCs/>
                <w:caps/>
                <w:sz w:val="18"/>
                <w:szCs w:val="18"/>
              </w:rPr>
            </w:pPr>
            <w:r w:rsidRPr="00CE4D3B"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lastRenderedPageBreak/>
              <w:t>Travail en équipe/Management/Encadrement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E812A8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3107C7">
            <w:pPr>
              <w:keepNext/>
              <w:spacing w:after="0" w:line="24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Animer/diriger une équipe (effectif ?), encadrer, former des collaborateurs, planifier et évaluer le travail, travailler à l’interface de plusieurs acteurs … 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812A8" w:rsidRPr="00DC3531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E812A8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3107C7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Pr="00DC3531" w:rsidRDefault="00E812A8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E812A8" w:rsidRDefault="00E812A8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CE4D3B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rPr>
                <w:rFonts w:ascii="Comic Sans MS" w:hAnsi="Comic Sans MS" w:cs="Arial"/>
                <w:b/>
                <w:bCs/>
                <w:caps/>
                <w:sz w:val="18"/>
                <w:szCs w:val="18"/>
              </w:rPr>
            </w:pPr>
            <w:r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INFORMATION ET COMMUNICATION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CE4D3B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Capacité à communiquer à l’écrit et à l’oral, animation de réunions, maîtrise d’outils de communication … 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CE4D3B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CE4D3B" w:rsidRDefault="00CE4D3B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CE4D3B" w:rsidRDefault="00CE4D3B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CE4D3B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30743B">
            <w:pPr>
              <w:keepNext/>
              <w:spacing w:after="0" w:line="240" w:lineRule="auto"/>
              <w:rPr>
                <w:rFonts w:ascii="Comic Sans MS" w:hAnsi="Comic Sans MS" w:cs="Arial"/>
                <w:b/>
                <w:bCs/>
                <w:caps/>
                <w:sz w:val="18"/>
                <w:szCs w:val="18"/>
              </w:rPr>
            </w:pPr>
            <w:r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M</w:t>
            </w:r>
            <w:r w:rsidR="00E812A8"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A</w:t>
            </w:r>
            <w:r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 xml:space="preserve">ITRISE </w:t>
            </w:r>
            <w:r w:rsidR="0030743B"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DE L’ANGLAIS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CE4D3B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Pr="00DC3531" w:rsidRDefault="00CE4D3B" w:rsidP="0030743B">
            <w:pPr>
              <w:keepNext/>
              <w:spacing w:after="0" w:line="24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Savoir lire, écrire </w:t>
            </w:r>
            <w:r w:rsidR="0030743B">
              <w:rPr>
                <w:rFonts w:ascii="Comic Sans MS" w:hAnsi="Comic Sans MS" w:cs="Arial"/>
                <w:sz w:val="18"/>
                <w:szCs w:val="18"/>
              </w:rPr>
              <w:t>en Anglais</w:t>
            </w:r>
            <w:r>
              <w:rPr>
                <w:rFonts w:ascii="Comic Sans MS" w:hAnsi="Comic Sans MS" w:cs="Arial"/>
                <w:sz w:val="18"/>
                <w:szCs w:val="18"/>
              </w:rPr>
              <w:t>, capacité à</w:t>
            </w:r>
            <w:r w:rsidR="00E812A8">
              <w:rPr>
                <w:rFonts w:ascii="Comic Sans MS" w:hAnsi="Comic Sans MS" w:cs="Arial"/>
                <w:sz w:val="18"/>
                <w:szCs w:val="18"/>
              </w:rPr>
              <w:t xml:space="preserve"> communiquer av</w:t>
            </w:r>
            <w:r w:rsidR="0030743B">
              <w:rPr>
                <w:rFonts w:ascii="Comic Sans MS" w:hAnsi="Comic Sans MS" w:cs="Arial"/>
                <w:sz w:val="18"/>
                <w:szCs w:val="18"/>
              </w:rPr>
              <w:t>ec d’autres acteurs dans cette langue</w:t>
            </w:r>
            <w:r w:rsidR="00E812A8">
              <w:rPr>
                <w:rFonts w:ascii="Comic Sans MS" w:hAnsi="Comic Sans MS" w:cs="Arial"/>
                <w:sz w:val="18"/>
                <w:szCs w:val="18"/>
              </w:rPr>
              <w:t> …</w:t>
            </w:r>
            <w:r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 w:rsidR="0030743B">
              <w:rPr>
                <w:rFonts w:ascii="Comic Sans MS" w:hAnsi="Comic Sans MS" w:cs="Arial"/>
                <w:sz w:val="18"/>
                <w:szCs w:val="18"/>
              </w:rPr>
              <w:t>(si passé, note obtenu à un test de certification)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CE4D3B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CE4D3B" w:rsidRPr="00DC3531" w:rsidRDefault="00CE4D3B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CE4D3B" w:rsidRDefault="00CE4D3B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E812A8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rPr>
                <w:rFonts w:ascii="Comic Sans MS" w:hAnsi="Comic Sans MS" w:cs="Arial"/>
                <w:b/>
                <w:bCs/>
                <w:caps/>
                <w:sz w:val="18"/>
                <w:szCs w:val="18"/>
              </w:rPr>
            </w:pPr>
            <w:r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lastRenderedPageBreak/>
              <w:t>OUTILS STATISTIQUES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E812A8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30743B">
            <w:pPr>
              <w:keepNext/>
              <w:spacing w:after="0" w:line="24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Capacité à comprendre une étude statistique, capacité à mettre en place une expérimentation statistique et</w:t>
            </w:r>
            <w:r w:rsidR="0030743B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 xml:space="preserve">en exploiter les résultats … 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E812A8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E812A8" w:rsidRDefault="00E812A8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E812A8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rPr>
                <w:rFonts w:ascii="Comic Sans MS" w:hAnsi="Comic Sans MS" w:cs="Arial"/>
                <w:b/>
                <w:bCs/>
                <w:caps/>
                <w:sz w:val="18"/>
                <w:szCs w:val="18"/>
              </w:rPr>
            </w:pPr>
            <w:r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OUTILS INFORMATIQUES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E812A8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Capacités à maîtriser un tableur comme Excel, capacité à utiliser une base de données, à en comprendre son fonctionnement … 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E812A8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E812A8" w:rsidRDefault="00E812A8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4395"/>
      </w:tblGrid>
      <w:tr w:rsidR="00E812A8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30743B">
            <w:pPr>
              <w:keepNext/>
              <w:spacing w:after="0" w:line="240" w:lineRule="auto"/>
              <w:rPr>
                <w:rFonts w:ascii="Comic Sans MS" w:hAnsi="Comic Sans MS" w:cs="Arial"/>
                <w:b/>
                <w:bCs/>
                <w:caps/>
                <w:sz w:val="18"/>
                <w:szCs w:val="18"/>
              </w:rPr>
            </w:pPr>
            <w:r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système DE MAN</w:t>
            </w:r>
            <w:r w:rsidR="0030743B"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A</w:t>
            </w:r>
            <w:r>
              <w:rPr>
                <w:rFonts w:ascii="Comic Sans MS" w:eastAsia="Times New Roman" w:hAnsi="Comic Sans MS" w:cs="Arial"/>
                <w:b/>
                <w:bCs/>
                <w:caps/>
                <w:sz w:val="18"/>
                <w:szCs w:val="18"/>
                <w:lang w:eastAsia="fr-FR"/>
              </w:rPr>
              <w:t>GEMENT PAR LA QUALITE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Evaluation</w:t>
            </w:r>
          </w:p>
        </w:tc>
      </w:tr>
      <w:tr w:rsidR="00E812A8" w:rsidRPr="00DC3531" w:rsidTr="001F21CB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Connaissance du mode de fonctionnement d’un management par la qualité, capacité à participer à un système de management par la qualité … 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E812A8" w:rsidRPr="00DC3531" w:rsidTr="001F21CB">
        <w:trPr>
          <w:trHeight w:val="300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DC3531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 </w:t>
            </w:r>
            <w: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 xml:space="preserve">Illustration </w:t>
            </w: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  <w:p w:rsidR="00E812A8" w:rsidRPr="00DC3531" w:rsidRDefault="00E812A8" w:rsidP="00E812A8">
            <w:pPr>
              <w:keepNext/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:rsidR="00E812A8" w:rsidRDefault="00E812A8"/>
    <w:sectPr w:rsidR="00E812A8" w:rsidSect="00E812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3EE" w:rsidRDefault="00A453EE" w:rsidP="00E812A8">
      <w:pPr>
        <w:spacing w:after="0" w:line="240" w:lineRule="auto"/>
      </w:pPr>
      <w:r>
        <w:separator/>
      </w:r>
    </w:p>
  </w:endnote>
  <w:endnote w:type="continuationSeparator" w:id="0">
    <w:p w:rsidR="00A453EE" w:rsidRDefault="00A453EE" w:rsidP="00E8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B4" w:rsidRDefault="000D01B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360" w:rsidRPr="00D02360" w:rsidRDefault="00D02360">
    <w:pPr>
      <w:pStyle w:val="Pieddepage"/>
      <w:rPr>
        <w:i/>
        <w:sz w:val="16"/>
        <w:szCs w:val="16"/>
      </w:rPr>
    </w:pPr>
    <w:r w:rsidRPr="00D02360">
      <w:rPr>
        <w:i/>
        <w:sz w:val="16"/>
        <w:szCs w:val="16"/>
      </w:rPr>
      <w:t>Document rattaché à la procédure recrutement VAE</w:t>
    </w:r>
    <w:r w:rsidRPr="00D02360">
      <w:rPr>
        <w:i/>
        <w:sz w:val="16"/>
        <w:szCs w:val="16"/>
      </w:rPr>
      <w:tab/>
    </w:r>
    <w:sdt>
      <w:sdtPr>
        <w:rPr>
          <w:i/>
          <w:sz w:val="16"/>
          <w:szCs w:val="16"/>
        </w:rPr>
        <w:id w:val="11455564"/>
        <w:docPartObj>
          <w:docPartGallery w:val="Page Numbers (Bottom of Page)"/>
          <w:docPartUnique/>
        </w:docPartObj>
      </w:sdtPr>
      <w:sdtEndPr/>
      <w:sdtContent>
        <w:r>
          <w:rPr>
            <w:i/>
            <w:sz w:val="16"/>
            <w:szCs w:val="16"/>
          </w:rPr>
          <w:tab/>
        </w:r>
        <w:r>
          <w:rPr>
            <w:i/>
            <w:sz w:val="16"/>
            <w:szCs w:val="16"/>
          </w:rPr>
          <w:tab/>
        </w:r>
        <w:r>
          <w:rPr>
            <w:i/>
            <w:sz w:val="16"/>
            <w:szCs w:val="16"/>
          </w:rPr>
          <w:tab/>
        </w:r>
        <w:r w:rsidR="00134192" w:rsidRPr="00D02360">
          <w:rPr>
            <w:i/>
            <w:sz w:val="16"/>
            <w:szCs w:val="16"/>
          </w:rPr>
          <w:fldChar w:fldCharType="begin"/>
        </w:r>
        <w:r w:rsidRPr="00D02360">
          <w:rPr>
            <w:i/>
            <w:sz w:val="16"/>
            <w:szCs w:val="16"/>
          </w:rPr>
          <w:instrText xml:space="preserve"> PAGE   \* MERGEFORMAT </w:instrText>
        </w:r>
        <w:r w:rsidR="00134192" w:rsidRPr="00D02360">
          <w:rPr>
            <w:i/>
            <w:sz w:val="16"/>
            <w:szCs w:val="16"/>
          </w:rPr>
          <w:fldChar w:fldCharType="separate"/>
        </w:r>
        <w:r w:rsidR="006C59B4">
          <w:rPr>
            <w:i/>
            <w:noProof/>
            <w:sz w:val="16"/>
            <w:szCs w:val="16"/>
          </w:rPr>
          <w:t>3</w:t>
        </w:r>
        <w:r w:rsidR="00134192" w:rsidRPr="00D02360">
          <w:rPr>
            <w:i/>
            <w:sz w:val="16"/>
            <w:szCs w:val="16"/>
          </w:rPr>
          <w:fldChar w:fldCharType="end"/>
        </w:r>
      </w:sdtContent>
    </w:sdt>
  </w:p>
  <w:p w:rsidR="0030743B" w:rsidRPr="00D02360" w:rsidRDefault="0066751E">
    <w:pPr>
      <w:pStyle w:val="Pieddepage"/>
      <w:rPr>
        <w:i/>
        <w:sz w:val="16"/>
        <w:szCs w:val="16"/>
      </w:rPr>
    </w:pPr>
    <w:r>
      <w:rPr>
        <w:i/>
        <w:sz w:val="16"/>
        <w:szCs w:val="16"/>
      </w:rPr>
      <w:t>A</w:t>
    </w:r>
    <w:r w:rsidR="000D01B4">
      <w:rPr>
        <w:i/>
        <w:sz w:val="16"/>
        <w:szCs w:val="16"/>
      </w:rPr>
      <w:t>pprouvé par Michel LE HENAFF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B4" w:rsidRDefault="000D01B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3EE" w:rsidRDefault="00A453EE" w:rsidP="00E812A8">
      <w:pPr>
        <w:spacing w:after="0" w:line="240" w:lineRule="auto"/>
      </w:pPr>
      <w:r>
        <w:separator/>
      </w:r>
    </w:p>
  </w:footnote>
  <w:footnote w:type="continuationSeparator" w:id="0">
    <w:p w:rsidR="00A453EE" w:rsidRDefault="00A453EE" w:rsidP="00E81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B4" w:rsidRDefault="000D01B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26"/>
      <w:gridCol w:w="6903"/>
      <w:gridCol w:w="1426"/>
    </w:tblGrid>
    <w:tr w:rsidR="00915A86" w:rsidRPr="00F8218A" w:rsidTr="003D607A">
      <w:tc>
        <w:tcPr>
          <w:tcW w:w="1526" w:type="dxa"/>
        </w:tcPr>
        <w:p w:rsidR="00915A86" w:rsidRPr="00F8218A" w:rsidRDefault="00915A86" w:rsidP="003D607A">
          <w:pPr>
            <w:pStyle w:val="En-tte"/>
            <w:tabs>
              <w:tab w:val="clear" w:pos="4536"/>
              <w:tab w:val="clear" w:pos="9072"/>
              <w:tab w:val="left" w:pos="2492"/>
            </w:tabs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noProof/>
              <w:lang w:eastAsia="fr-FR"/>
            </w:rPr>
            <w:drawing>
              <wp:inline distT="0" distB="0" distL="0" distR="0">
                <wp:extent cx="519430" cy="739140"/>
                <wp:effectExtent l="19050" t="0" r="0" b="0"/>
                <wp:docPr id="1" name="Image 1" descr="LOGO_BSA_RV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BSA_RV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430" cy="739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03" w:type="dxa"/>
          <w:vAlign w:val="center"/>
        </w:tcPr>
        <w:p w:rsidR="00915A86" w:rsidRPr="0020765B" w:rsidRDefault="00915A86" w:rsidP="003D607A">
          <w:pPr>
            <w:pStyle w:val="En-tte"/>
            <w:tabs>
              <w:tab w:val="clear" w:pos="4536"/>
              <w:tab w:val="clear" w:pos="9072"/>
              <w:tab w:val="left" w:pos="2492"/>
            </w:tabs>
            <w:jc w:val="center"/>
            <w:rPr>
              <w:b/>
              <w:bCs/>
              <w:color w:val="00CC00"/>
              <w:sz w:val="36"/>
              <w:szCs w:val="28"/>
            </w:rPr>
          </w:pPr>
          <w:r>
            <w:rPr>
              <w:b/>
              <w:bCs/>
              <w:color w:val="00CC00"/>
              <w:sz w:val="36"/>
              <w:szCs w:val="28"/>
            </w:rPr>
            <w:t>Grille d’</w:t>
          </w:r>
          <w:r w:rsidR="008C6497">
            <w:rPr>
              <w:b/>
              <w:bCs/>
              <w:color w:val="00CC00"/>
              <w:sz w:val="36"/>
              <w:szCs w:val="28"/>
            </w:rPr>
            <w:t xml:space="preserve">auto </w:t>
          </w:r>
          <w:r>
            <w:rPr>
              <w:b/>
              <w:bCs/>
              <w:color w:val="00CC00"/>
              <w:sz w:val="36"/>
              <w:szCs w:val="28"/>
            </w:rPr>
            <w:t xml:space="preserve">évaluation </w:t>
          </w:r>
          <w:r w:rsidR="0029688A">
            <w:rPr>
              <w:b/>
              <w:bCs/>
              <w:color w:val="00CC00"/>
              <w:sz w:val="36"/>
              <w:szCs w:val="28"/>
            </w:rPr>
            <w:t xml:space="preserve">de l’expérience et </w:t>
          </w:r>
          <w:r>
            <w:rPr>
              <w:b/>
              <w:bCs/>
              <w:color w:val="00CC00"/>
              <w:sz w:val="36"/>
              <w:szCs w:val="28"/>
            </w:rPr>
            <w:t xml:space="preserve">des compétences </w:t>
          </w:r>
          <w:r w:rsidR="0029688A">
            <w:rPr>
              <w:b/>
              <w:bCs/>
              <w:color w:val="00CC00"/>
              <w:sz w:val="36"/>
              <w:szCs w:val="28"/>
            </w:rPr>
            <w:t xml:space="preserve">d’un candidat </w:t>
          </w:r>
          <w:r>
            <w:rPr>
              <w:b/>
              <w:bCs/>
              <w:color w:val="00CC00"/>
              <w:sz w:val="36"/>
              <w:szCs w:val="28"/>
            </w:rPr>
            <w:t>VAE</w:t>
          </w:r>
        </w:p>
      </w:tc>
      <w:tc>
        <w:tcPr>
          <w:tcW w:w="1426" w:type="dxa"/>
        </w:tcPr>
        <w:p w:rsidR="00915A86" w:rsidRPr="00F8218A" w:rsidRDefault="00915A86" w:rsidP="003D607A">
          <w:pPr>
            <w:pStyle w:val="En-tte"/>
            <w:tabs>
              <w:tab w:val="clear" w:pos="4536"/>
              <w:tab w:val="clear" w:pos="9072"/>
              <w:tab w:val="left" w:pos="2492"/>
            </w:tabs>
            <w:jc w:val="center"/>
            <w:rPr>
              <w:b/>
            </w:rPr>
          </w:pPr>
        </w:p>
        <w:p w:rsidR="00915A86" w:rsidRPr="00F8218A" w:rsidRDefault="00915A86" w:rsidP="003D607A">
          <w:pPr>
            <w:pStyle w:val="En-tte"/>
            <w:tabs>
              <w:tab w:val="clear" w:pos="4536"/>
              <w:tab w:val="clear" w:pos="9072"/>
              <w:tab w:val="left" w:pos="2492"/>
            </w:tabs>
            <w:jc w:val="center"/>
            <w:rPr>
              <w:rFonts w:ascii="Arial" w:hAnsi="Arial" w:cs="Arial"/>
              <w:b/>
              <w:sz w:val="32"/>
              <w:szCs w:val="32"/>
            </w:rPr>
          </w:pPr>
          <w:r w:rsidRPr="00F8218A">
            <w:rPr>
              <w:b/>
            </w:rPr>
            <w:t xml:space="preserve">Version du </w:t>
          </w:r>
          <w:r w:rsidR="0029688A">
            <w:rPr>
              <w:b/>
            </w:rPr>
            <w:t>04/07/2019</w:t>
          </w:r>
        </w:p>
      </w:tc>
    </w:tr>
  </w:tbl>
  <w:p w:rsidR="00915A86" w:rsidRDefault="00915A8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B4" w:rsidRDefault="000D01B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531"/>
    <w:rsid w:val="00021DB8"/>
    <w:rsid w:val="000D01B4"/>
    <w:rsid w:val="00134192"/>
    <w:rsid w:val="00193AEE"/>
    <w:rsid w:val="001D6056"/>
    <w:rsid w:val="001F21CB"/>
    <w:rsid w:val="0029688A"/>
    <w:rsid w:val="0030743B"/>
    <w:rsid w:val="003107C7"/>
    <w:rsid w:val="00372C5B"/>
    <w:rsid w:val="00422931"/>
    <w:rsid w:val="0042544C"/>
    <w:rsid w:val="00497D73"/>
    <w:rsid w:val="004D54F5"/>
    <w:rsid w:val="0050515E"/>
    <w:rsid w:val="00546328"/>
    <w:rsid w:val="005E0CEF"/>
    <w:rsid w:val="0066751E"/>
    <w:rsid w:val="00681EBA"/>
    <w:rsid w:val="006C59B4"/>
    <w:rsid w:val="008C6497"/>
    <w:rsid w:val="008D6CC0"/>
    <w:rsid w:val="008E5931"/>
    <w:rsid w:val="00915A86"/>
    <w:rsid w:val="00927D05"/>
    <w:rsid w:val="00A06107"/>
    <w:rsid w:val="00A23596"/>
    <w:rsid w:val="00A453EE"/>
    <w:rsid w:val="00CE4D3B"/>
    <w:rsid w:val="00D02360"/>
    <w:rsid w:val="00D90370"/>
    <w:rsid w:val="00DC3531"/>
    <w:rsid w:val="00E21C97"/>
    <w:rsid w:val="00E8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0ACAA30-D810-44AC-96E2-B57B8EC0E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A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3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C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5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81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12A8"/>
  </w:style>
  <w:style w:type="paragraph" w:styleId="Pieddepage">
    <w:name w:val="footer"/>
    <w:basedOn w:val="Normal"/>
    <w:link w:val="PieddepageCar"/>
    <w:uiPriority w:val="99"/>
    <w:unhideWhenUsed/>
    <w:rsid w:val="00E81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1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10124</TotalTime>
  <Pages>4</Pages>
  <Words>433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etudes</dc:creator>
  <cp:lastModifiedBy>Michel Le Hénaff</cp:lastModifiedBy>
  <cp:revision>16</cp:revision>
  <cp:lastPrinted>2014-09-24T08:54:00Z</cp:lastPrinted>
  <dcterms:created xsi:type="dcterms:W3CDTF">2014-09-24T08:00:00Z</dcterms:created>
  <dcterms:modified xsi:type="dcterms:W3CDTF">2019-07-18T06:57:00Z</dcterms:modified>
</cp:coreProperties>
</file>